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DC7" w:rsidRPr="00407DC7" w:rsidRDefault="00407DC7" w:rsidP="00407DC7">
      <w:pPr>
        <w:spacing w:after="0" w:line="240" w:lineRule="auto"/>
        <w:ind w:firstLine="285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Повідомлення про проведення річних загальних зборів акціонерів</w:t>
      </w:r>
    </w:p>
    <w:p w:rsidR="00407DC7" w:rsidRPr="00407DC7" w:rsidRDefault="007366B2" w:rsidP="00407DC7">
      <w:pPr>
        <w:spacing w:after="0" w:line="240" w:lineRule="auto"/>
        <w:ind w:firstLine="285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</w:t>
      </w: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риватного акціонерного товариства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="00407DC7"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«</w:t>
      </w:r>
      <w:r w:rsidRPr="007366B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Дніпропетровський завод мостових залізобетонних конструкцій</w:t>
      </w:r>
      <w:r w:rsidR="00407DC7"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»</w:t>
      </w:r>
    </w:p>
    <w:p w:rsidR="00407DC7" w:rsidRPr="00407DC7" w:rsidRDefault="00407DC7" w:rsidP="00407DC7">
      <w:pPr>
        <w:spacing w:after="0" w:line="240" w:lineRule="auto"/>
        <w:ind w:firstLine="285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07DC7" w:rsidRPr="00407DC7" w:rsidRDefault="00407DC7" w:rsidP="00407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Повне найменування товариства: </w:t>
      </w:r>
      <w:r w:rsidR="007366B2" w:rsidRPr="007366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Приватне акціонерне товариство "Дніпропетровський завод мостових залізобетонних конструкцій"</w:t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407DC7" w:rsidRPr="00407DC7" w:rsidRDefault="00407DC7" w:rsidP="00407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Місцез</w:t>
      </w:r>
      <w:r w:rsidR="007366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находження товариства: Україна, </w:t>
      </w:r>
      <w:r w:rsidR="007366B2" w:rsidRPr="007366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м. </w:t>
      </w:r>
      <w:proofErr w:type="spellStart"/>
      <w:r w:rsidR="007366B2" w:rsidRPr="007366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Днiпро</w:t>
      </w:r>
      <w:proofErr w:type="spellEnd"/>
      <w:r w:rsidR="007366B2" w:rsidRPr="007366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вул. </w:t>
      </w:r>
      <w:proofErr w:type="spellStart"/>
      <w:r w:rsidR="007366B2" w:rsidRPr="007366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Молодогвардiйська</w:t>
      </w:r>
      <w:proofErr w:type="spellEnd"/>
      <w:r w:rsidR="007366B2" w:rsidRPr="007366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 буд. 2</w:t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.  код ЄДРПОУ </w:t>
      </w:r>
      <w:r w:rsidR="007366B2" w:rsidRPr="000824C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01374010</w:t>
      </w: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07DC7" w:rsidRPr="00F10C82" w:rsidRDefault="007366B2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366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Приватне акціонерне товариство "Дніпропетровський завод мостових залізобетонних конструкцій"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407DC7"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(надалі – «Товариство») повідомляє про проведення річних загальних зборів </w:t>
      </w:r>
      <w:r w:rsidR="00407DC7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акціонерів Товариства, які відбудуться </w:t>
      </w:r>
      <w:r w:rsidR="008A1F68" w:rsidRPr="008A1F6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22</w:t>
      </w:r>
      <w:r w:rsidR="00417881" w:rsidRPr="008A1F6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квітня 2021</w:t>
      </w:r>
      <w:r w:rsidR="00407DC7" w:rsidRPr="008A1F6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року</w:t>
      </w:r>
      <w:r w:rsidR="00407DC7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о 08.30 годині</w:t>
      </w:r>
      <w:r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407DC7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 </w:t>
      </w:r>
      <w:proofErr w:type="spellStart"/>
      <w:r w:rsidR="00407DC7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адресою</w:t>
      </w:r>
      <w:proofErr w:type="spellEnd"/>
      <w:r w:rsidR="00407DC7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: </w:t>
      </w:r>
      <w:r w:rsidR="00ED0FE9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м. </w:t>
      </w:r>
      <w:proofErr w:type="spellStart"/>
      <w:r w:rsidR="00ED0FE9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Днiпро</w:t>
      </w:r>
      <w:proofErr w:type="spellEnd"/>
      <w:r w:rsidR="00ED0FE9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вул. </w:t>
      </w:r>
      <w:proofErr w:type="spellStart"/>
      <w:r w:rsidR="00ED0FE9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Молодогвардiйська</w:t>
      </w:r>
      <w:proofErr w:type="spellEnd"/>
      <w:r w:rsidR="00ED0FE9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 буд. 2</w:t>
      </w:r>
      <w:r w:rsidR="00407DC7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 актова зала.</w:t>
      </w:r>
    </w:p>
    <w:p w:rsidR="00407DC7" w:rsidRPr="00F10C82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Реєстрація учасників та їх представників для участі у річних загальних зборах буде проводитись </w:t>
      </w:r>
      <w:r w:rsidR="008A1F68" w:rsidRPr="008A1F6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22</w:t>
      </w:r>
      <w:r w:rsidR="00417881" w:rsidRPr="008A1F6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.04.2021</w:t>
      </w:r>
      <w:r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року з 08-00 год. до 08-20 год. за місцем проведення річних загальних зборів.</w:t>
      </w: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Реєстрація акціонерів та їх представників для участі у річних загальних зборах відбуватиметься відповідно до переліку акціонерів, які мають право на участь у річних загальних зборах, складеному станом на 24 годину за 3 (три) робочих дні до дня проведення річних загальних зборів акціонерного товариства, тобто на 24 годину </w:t>
      </w:r>
      <w:r w:rsidR="008A1F68" w:rsidRPr="008A1F6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16</w:t>
      </w:r>
      <w:r w:rsidRPr="008A1F6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417881" w:rsidRPr="008A1F6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квітня 2021</w:t>
      </w:r>
      <w:r w:rsidRPr="008A1F6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року</w:t>
      </w:r>
      <w:r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07DC7" w:rsidRPr="00407DC7" w:rsidRDefault="00407DC7" w:rsidP="00407DC7">
      <w:pPr>
        <w:spacing w:after="0" w:line="240" w:lineRule="auto"/>
        <w:ind w:firstLine="285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ПЕРЕЛІК ПИТАНЬ РАЗОМ З ПРОЕКТАМИ РІШЕНЬ,</w:t>
      </w:r>
    </w:p>
    <w:p w:rsidR="00407DC7" w:rsidRPr="00407DC7" w:rsidRDefault="00407DC7" w:rsidP="00407DC7">
      <w:pPr>
        <w:spacing w:after="0" w:line="240" w:lineRule="auto"/>
        <w:ind w:firstLine="285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ВКЛЮЧЕНИХ ДО ПОРЯДКУ ДЕННОГО ЗАГАЛЬНИХ ЗБОРІВ:</w:t>
      </w:r>
    </w:p>
    <w:p w:rsidR="00407DC7" w:rsidRPr="00407DC7" w:rsidRDefault="00407DC7" w:rsidP="00407DC7">
      <w:pPr>
        <w:spacing w:after="0" w:line="240" w:lineRule="auto"/>
        <w:ind w:firstLine="285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1. </w:t>
      </w:r>
      <w:r w:rsidR="0041788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Про о</w:t>
      </w: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брання лічильної комісії річних загальних зборів Товариства.</w:t>
      </w: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Проект рішення:</w:t>
      </w:r>
    </w:p>
    <w:p w:rsidR="00407DC7" w:rsidRPr="00417881" w:rsidRDefault="00407DC7" w:rsidP="00417881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1788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Обрати лічильну комісію річних загальних зборів Товариства у наступному складі:</w:t>
      </w: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голова комісії –</w:t>
      </w:r>
      <w:r w:rsidR="0086409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3A6942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Воєвода Т.В.</w:t>
      </w:r>
    </w:p>
    <w:p w:rsidR="00407DC7" w:rsidRPr="00407DC7" w:rsidRDefault="00407DC7" w:rsidP="007366B2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член комісії – </w:t>
      </w:r>
      <w:proofErr w:type="spellStart"/>
      <w:r w:rsidR="003A6942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Велегура</w:t>
      </w:r>
      <w:proofErr w:type="spellEnd"/>
      <w:r w:rsidR="003A6942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В.В.</w:t>
      </w:r>
    </w:p>
    <w:p w:rsidR="00407DC7" w:rsidRDefault="00407DC7" w:rsidP="007366B2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член комісії – </w:t>
      </w:r>
      <w:r w:rsidR="0086409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="003A6942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Соколянський</w:t>
      </w:r>
      <w:proofErr w:type="spellEnd"/>
      <w:r w:rsidR="003A6942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Г.П.</w:t>
      </w:r>
    </w:p>
    <w:p w:rsidR="00A9482F" w:rsidRPr="00A9482F" w:rsidRDefault="00417881" w:rsidP="00A9482F">
      <w:pPr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1.2. </w:t>
      </w:r>
      <w:r w:rsidR="00A9482F" w:rsidRPr="00266B7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Встановити, що повноваження членів лічильної комісії припиняються після складання протоколів про підсумки голосування та опечатування бюлетенів для голосування.</w:t>
      </w: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2. </w:t>
      </w:r>
      <w:r w:rsidR="0041788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Про о</w:t>
      </w: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брання голови і секретаря річних загальних зборів.</w:t>
      </w: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Проект рішення:</w:t>
      </w:r>
    </w:p>
    <w:p w:rsidR="00407DC7" w:rsidRPr="00407DC7" w:rsidRDefault="00407DC7" w:rsidP="007366B2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Обрати головою річних загальних зборів </w:t>
      </w:r>
      <w:r w:rsidR="003A6942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Шестакову Т.Г.</w:t>
      </w:r>
    </w:p>
    <w:p w:rsidR="00407DC7" w:rsidRPr="003A6942" w:rsidRDefault="00407DC7" w:rsidP="007366B2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Обрати секретарем річних загальних зборів </w:t>
      </w:r>
      <w:r w:rsidR="003A6942" w:rsidRPr="00F10C8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Антонову Л.Ф.</w:t>
      </w:r>
    </w:p>
    <w:p w:rsidR="00213B26" w:rsidRPr="00407DC7" w:rsidRDefault="00213B26" w:rsidP="00407DC7">
      <w:pPr>
        <w:widowControl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07DC7" w:rsidRPr="00407DC7" w:rsidRDefault="00407DC7" w:rsidP="00407DC7">
      <w:pPr>
        <w:spacing w:after="0" w:line="240" w:lineRule="auto"/>
        <w:ind w:firstLine="285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3. Затвердження порядку проведення річних загальних зборів.</w:t>
      </w:r>
    </w:p>
    <w:p w:rsidR="00407DC7" w:rsidRPr="00407DC7" w:rsidRDefault="00407DC7" w:rsidP="00407DC7">
      <w:pPr>
        <w:spacing w:after="0" w:line="240" w:lineRule="auto"/>
        <w:ind w:firstLine="285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Проект рішення:</w:t>
      </w: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Затвердити наступний порядок проведення річних загальних зборів: </w:t>
      </w: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Час для виступів доповідачів з питань порядку денного - до 5 хвилин. Голова річних загальних зборів виносить на розгляд питання порядку денного загальних зборів у тій послідовності, в якій вони перелічені в оприлюдненому порядку денному. Голосування з питань порядку денного загальних зборів проводиться виключно з використанням бюлетенів для голосування, форма і текст яких були затверджені Наглядовою радою Товариства. Бюлетені для голосування засвідчуються перед їх видачою акціонеру (його представнику) під час його реєстрації для участі в загальних зборах підписом голови реєстраційної комісії. Мова, якою проводяться (ведуться) загальні збори та оформлюється протокол загальних зборів є українська мова. Протокол загальних зборів підписують обрані голова та секретар загальних зборів. З усіх інших процедур та питань, які виникають під час проведення цих загальних зборів,  керуватися нормами Статуту, внутрішніх положень та чинного законодавства України.</w:t>
      </w:r>
    </w:p>
    <w:p w:rsidR="00407DC7" w:rsidRPr="00407DC7" w:rsidRDefault="00407DC7" w:rsidP="00407DC7">
      <w:pPr>
        <w:spacing w:after="0" w:line="240" w:lineRule="auto"/>
        <w:ind w:firstLine="285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17881" w:rsidRPr="00417881" w:rsidRDefault="00417881" w:rsidP="00417881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1788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4. Розгляд річного звіту Генерального Директора Товариства про результати фінансово-господарської діяльності товариства за 2020 рік. Прийняття рішення за наслідками розгляду звіту.</w:t>
      </w:r>
    </w:p>
    <w:p w:rsidR="00417881" w:rsidRPr="00417881" w:rsidRDefault="00417881" w:rsidP="00417881">
      <w:pPr>
        <w:spacing w:after="0" w:line="240" w:lineRule="auto"/>
        <w:ind w:firstLine="285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417881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Проект рішення:</w:t>
      </w:r>
    </w:p>
    <w:p w:rsidR="00417881" w:rsidRPr="00417881" w:rsidRDefault="00417881" w:rsidP="00417881">
      <w:pPr>
        <w:widowControl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1788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Прийняти звіт Генерального Директора Товариства до відома. Роботу Генерального Директора Товариства в 2020 році визнати задовільною та такою, що відповідає меті та напрямкам діяльності Товариства і положенням його установчих документів. Затвердити Звіт Генерального Директора Товариства за 2020 рік.</w:t>
      </w:r>
    </w:p>
    <w:p w:rsidR="00417881" w:rsidRPr="00417881" w:rsidRDefault="00417881" w:rsidP="00417881">
      <w:pPr>
        <w:widowControl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17881" w:rsidRPr="00417881" w:rsidRDefault="00417881" w:rsidP="00417881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1788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5. Розгляд звіту Наглядової Ради Товариства за 2020 рік. Прийняття рішення за наслідками розгляду звіту.</w:t>
      </w:r>
    </w:p>
    <w:p w:rsidR="00417881" w:rsidRPr="00417881" w:rsidRDefault="00417881" w:rsidP="00417881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417881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Проект рішення:</w:t>
      </w:r>
    </w:p>
    <w:p w:rsidR="00407DC7" w:rsidRPr="00407DC7" w:rsidRDefault="00417881" w:rsidP="00417881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1788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Прийняти звіт Наглядової ради Товариства до відома. Роботу Наглядової ради Товариства в 2020 році визнати задовільною та такою, що відповідає меті та напрямкам діяльності Товариства і положенням його установчих документів. Затвердити звіт Наглядової Ради Товариства за 2020 рік. </w:t>
      </w:r>
      <w:r w:rsidR="00407DC7"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07DC7" w:rsidRPr="00407DC7" w:rsidRDefault="00407DC7" w:rsidP="00266B7C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6.</w:t>
      </w:r>
      <w:r w:rsidR="00F31CB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="00F31CB5" w:rsidRPr="00266B7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Розгляд </w:t>
      </w:r>
      <w:r w:rsidRPr="00266B7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та затвердження </w:t>
      </w:r>
      <w:r w:rsidR="00CF523D" w:rsidRPr="00266B7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річної фінансової звітності </w:t>
      </w:r>
      <w:r w:rsidRPr="00266B7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Товариства за </w:t>
      </w:r>
      <w:r w:rsidR="00831E7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2020 рі</w:t>
      </w:r>
      <w:r w:rsidRPr="00266B7C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к.</w:t>
      </w:r>
    </w:p>
    <w:p w:rsidR="00407DC7" w:rsidRPr="00407DC7" w:rsidRDefault="00407DC7" w:rsidP="00266B7C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Проект рішення:</w:t>
      </w:r>
    </w:p>
    <w:p w:rsidR="00407DC7" w:rsidRPr="00407DC7" w:rsidRDefault="00F31CB5" w:rsidP="00266B7C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Погодитися </w:t>
      </w:r>
      <w:r w:rsidR="00407DC7"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та затвердити </w:t>
      </w:r>
      <w:r w:rsidR="00CF523D" w:rsidRPr="00CF523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річні фінансові результати діяльності та баланс Товариства </w:t>
      </w:r>
      <w:r w:rsidR="00407DC7"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за </w:t>
      </w:r>
      <w:r w:rsidR="00211F5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2020 рік</w:t>
      </w:r>
      <w:r w:rsidR="00407DC7"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407DC7" w:rsidRPr="00407DC7" w:rsidRDefault="00407DC7" w:rsidP="00266B7C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07DC7" w:rsidRPr="00407DC7" w:rsidRDefault="00407DC7" w:rsidP="00266B7C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7. Визначення порядку розподілу прибутку/покриття збитків за </w:t>
      </w:r>
      <w:r w:rsidR="00831E7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2020 рі</w:t>
      </w: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к та затвердження </w:t>
      </w:r>
      <w:r w:rsidR="00831E7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плану розподілу прибутку на 2021</w:t>
      </w: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рік.</w:t>
      </w:r>
    </w:p>
    <w:p w:rsidR="00407DC7" w:rsidRDefault="00407DC7" w:rsidP="00266B7C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Проект рішення:</w:t>
      </w:r>
    </w:p>
    <w:p w:rsidR="002352AC" w:rsidRPr="002352AC" w:rsidRDefault="00B2301E" w:rsidP="00393748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7.1. </w:t>
      </w:r>
      <w:r w:rsidR="00417881" w:rsidRPr="0041788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Встановити, що прибуток, отриманий Товариством у 2020 році у розмірі </w:t>
      </w:r>
      <w:r w:rsidR="00417881" w:rsidRPr="004178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51367 </w:t>
      </w:r>
      <w:r w:rsidR="00417881" w:rsidRPr="0041788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тис. грн. не розподіляти, а направити на покриття збитків минулих періодів.</w:t>
      </w:r>
    </w:p>
    <w:p w:rsidR="00554BB0" w:rsidRPr="00393748" w:rsidRDefault="00B2301E" w:rsidP="00393748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lastRenderedPageBreak/>
        <w:t xml:space="preserve">7.2. </w:t>
      </w:r>
      <w:r w:rsidR="00554B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</w:t>
      </w:r>
      <w:r w:rsidR="00554BB0" w:rsidRPr="00554B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атвердити </w:t>
      </w:r>
      <w:r w:rsidR="00554B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план </w:t>
      </w:r>
      <w:r w:rsid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розподілу прибутку на 2021</w:t>
      </w:r>
      <w:r w:rsidR="00554BB0" w:rsidRPr="00554B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рік </w:t>
      </w:r>
      <w:r w:rsidR="00554B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н</w:t>
      </w:r>
      <w:r w:rsidR="00554BB0" w:rsidRPr="00554BB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аступним чином: 100% направити на покриття збитків минулих періодів</w:t>
      </w:r>
      <w:r w:rsidR="00CF523D" w:rsidRPr="0039374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F31CB5" w:rsidRDefault="00F31CB5" w:rsidP="00266B7C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407DC7" w:rsidRPr="00407DC7" w:rsidRDefault="008D7063" w:rsidP="00407DC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8</w:t>
      </w:r>
      <w:r w:rsidR="00407DC7"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. Прийняття рішення про попереднє надання згоди на вчинення значних правочинів, які можуть вчинятися Товариством протягом одного року з дати прийняття такого рішення, якщо ринкова вартість майна або послуг, що є предметом таких правочинів, перевищує 25 відсотків вартості активів за дан</w:t>
      </w:r>
      <w:r w:rsidR="001D29B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ими фінансовій звітності за 2020</w:t>
      </w:r>
      <w:r w:rsidR="00407DC7"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рік.</w:t>
      </w:r>
    </w:p>
    <w:p w:rsidR="00407DC7" w:rsidRPr="00407DC7" w:rsidRDefault="00407DC7" w:rsidP="00407DC7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Проект рішення:</w:t>
      </w:r>
    </w:p>
    <w:p w:rsidR="00F31CB5" w:rsidRDefault="00407DC7" w:rsidP="00F31CB5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Попередньо надати згоду на вчинення значних правочинів, які можуть вчинятися Товариством протягом одного року з дати прийняття такого рішення, якщо ринкова вартість майна або послуг, що є предметом таких правочинів, перевищує 25 відсотків вартості активів за дан</w:t>
      </w:r>
      <w:r w:rsid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ими фінансовій звітності за 2020</w:t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рік, з граничною сукупною вартістю всіх таких правочинів в </w:t>
      </w:r>
      <w:r w:rsidRPr="0039374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розмірі </w:t>
      </w:r>
      <w:r w:rsidR="00417881" w:rsidRPr="0041788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11 1</w:t>
      </w:r>
      <w:r w:rsidR="00393748" w:rsidRPr="0041788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00</w:t>
      </w:r>
      <w:r w:rsidR="00F31CB5" w:rsidRPr="0041788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41788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тис. грн.,</w:t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</w:t>
      </w:r>
    </w:p>
    <w:p w:rsidR="00407DC7" w:rsidRPr="00F31CB5" w:rsidRDefault="00F31CB5" w:rsidP="00F31CB5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-       </w:t>
      </w:r>
      <w:r w:rsidR="00407DC7" w:rsidRPr="00F31CB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укладання договорів (контрактів) з продажу продукції, що виробляється Товариством;</w:t>
      </w:r>
    </w:p>
    <w:p w:rsidR="00407DC7" w:rsidRPr="00407DC7" w:rsidRDefault="00407DC7" w:rsidP="00407DC7">
      <w:pPr>
        <w:numPr>
          <w:ilvl w:val="0"/>
          <w:numId w:val="1"/>
        </w:num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укладання договорів (контрактів) з закупівлі Товариством матеріалів та сировини;</w:t>
      </w:r>
    </w:p>
    <w:p w:rsidR="00407DC7" w:rsidRPr="00407DC7" w:rsidRDefault="00407DC7" w:rsidP="00407DC7">
      <w:pPr>
        <w:numPr>
          <w:ilvl w:val="0"/>
          <w:numId w:val="1"/>
        </w:num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укладання договорів (контрактів) з метою забезпечення виконання власних зобов’язань та/або зобов’язань третіх осіб.</w:t>
      </w:r>
    </w:p>
    <w:p w:rsidR="00407DC7" w:rsidRPr="00407DC7" w:rsidRDefault="00407DC7" w:rsidP="00407DC7">
      <w:pPr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Від дати надіслання повідомлення про проведення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 до дати проведення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зборів, акціонери мають можливість ознайомитися з документами, необхідними для прийняття рішень з питань порядку денного та проектом (проектами) рішення з питань порядку денного, за місцезнаходженням Товариства: </w:t>
      </w:r>
      <w:r w:rsidRP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Україна, м. </w:t>
      </w:r>
      <w:proofErr w:type="spellStart"/>
      <w:r w:rsidRP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Днiпро</w:t>
      </w:r>
      <w:proofErr w:type="spellEnd"/>
      <w:r w:rsidRP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вул. </w:t>
      </w:r>
      <w:proofErr w:type="spellStart"/>
      <w:r w:rsidRP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Молодогвардiйська</w:t>
      </w:r>
      <w:proofErr w:type="spellEnd"/>
      <w:r w:rsidRP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 буд. 2, актова зала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у робочі дні (понеділок – п’ятниця) з 8.00 години до 17.00 години (перерва з 12.00 до 13.00), а в день проведення загальних зборів акціонерів – у місці їх проведення. Посадова особа, відповідальна за порядок ознайомлення акціонерів з документами – Генеральний Директор Товариства </w:t>
      </w:r>
      <w:proofErr w:type="spellStart"/>
      <w:r w:rsidRPr="001D29B2">
        <w:rPr>
          <w:rFonts w:ascii="Times New Roman" w:eastAsia="Times New Roman" w:hAnsi="Times New Roman" w:cs="Times New Roman"/>
          <w:sz w:val="20"/>
          <w:szCs w:val="20"/>
          <w:lang w:eastAsia="ru-RU"/>
        </w:rPr>
        <w:t>Дженкова</w:t>
      </w:r>
      <w:proofErr w:type="spellEnd"/>
      <w:r w:rsidRPr="001D29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Яна Петр</w:t>
      </w:r>
      <w:proofErr w:type="spellStart"/>
      <w:r w:rsidRPr="001D29B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1D29B2">
        <w:rPr>
          <w:rFonts w:ascii="Times New Roman" w:eastAsia="Times New Roman" w:hAnsi="Times New Roman" w:cs="Times New Roman"/>
          <w:sz w:val="20"/>
          <w:szCs w:val="20"/>
          <w:lang w:eastAsia="ru-RU"/>
        </w:rPr>
        <w:t>вна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Телефон для довідок: </w:t>
      </w:r>
      <w:r w:rsidRPr="001D29B2">
        <w:rPr>
          <w:rFonts w:ascii="Times New Roman" w:eastAsia="Times New Roman" w:hAnsi="Times New Roman" w:cs="Times New Roman"/>
          <w:sz w:val="20"/>
          <w:szCs w:val="20"/>
          <w:lang w:eastAsia="ru-RU"/>
        </w:rPr>
        <w:t>(056) 7900342</w:t>
      </w:r>
      <w:r w:rsidRP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1D29B2" w:rsidRPr="008D7063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Адреса веб-сайту Товариства, на якому розміщена інформація з проектами рішень щодо кожного з питань, включених до порядку денного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 акціонерів Товариства та інформація зазначена в ч.4 ст.35 Закону України «Про акціонерні товариства»: </w:t>
      </w:r>
      <w:r w:rsidRPr="001D29B2">
        <w:rPr>
          <w:lang w:val="en-US"/>
        </w:rPr>
        <w:t>http</w:t>
      </w:r>
      <w:r w:rsidRPr="001D29B2">
        <w:t>://</w:t>
      </w:r>
      <w:r w:rsidRPr="001D29B2">
        <w:rPr>
          <w:lang w:val="en-US"/>
        </w:rPr>
        <w:t>www</w:t>
      </w:r>
      <w:r w:rsidRPr="001D29B2">
        <w:t>.</w:t>
      </w:r>
      <w:proofErr w:type="spellStart"/>
      <w:r w:rsidRPr="001D29B2">
        <w:rPr>
          <w:lang w:val="en-US"/>
        </w:rPr>
        <w:t>dzmgbk</w:t>
      </w:r>
      <w:proofErr w:type="spellEnd"/>
      <w:r w:rsidRPr="001D29B2">
        <w:t>.</w:t>
      </w:r>
      <w:r w:rsidRPr="001D29B2">
        <w:rPr>
          <w:lang w:val="en-US"/>
        </w:rPr>
        <w:t>com</w:t>
      </w:r>
      <w:r w:rsidRPr="001D29B2">
        <w:t>.</w:t>
      </w:r>
      <w:proofErr w:type="spellStart"/>
      <w:r w:rsidRPr="001D29B2">
        <w:rPr>
          <w:lang w:val="en-US"/>
        </w:rPr>
        <w:t>ua</w:t>
      </w:r>
      <w:proofErr w:type="spellEnd"/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Оскільки проект порядку денного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 передбачає голосування з питань, визначених статтею 68 Закону України «Про акціонерні товариства», Товариство надає акціонерам можливість ознайомитися з проектом договору про викуп Товариством акцій відповідно до порядку, передбаченого статтею 69 Закону України «Про акціонерні товариства». Умови договору (крім кількості і загальної вартості акцій) є єдиними для всіх акціонерів. Адреса для ознайомлення: </w:t>
      </w:r>
      <w:r w:rsidRP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Україна, м. </w:t>
      </w:r>
      <w:proofErr w:type="spellStart"/>
      <w:r w:rsidRP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Днiпро</w:t>
      </w:r>
      <w:proofErr w:type="spellEnd"/>
      <w:r w:rsidRP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вул. </w:t>
      </w:r>
      <w:proofErr w:type="spellStart"/>
      <w:r w:rsidRP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Молодогвардiйська</w:t>
      </w:r>
      <w:proofErr w:type="spellEnd"/>
      <w:r w:rsidRPr="001D29B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 буд. 2, актова зала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у робочі дні (понеділок – п’ятниця) з 8.00 години до 17.00 години (перерва з 12.00 до 13.00), а в день проведення загальних зборів акціонерів – у місці їх проведення. Посадова особа, відповідальна за порядок ознайомлення акціонерів з проектом договору про викуп Товариством акцій - Генеральний Директор Товариства </w:t>
      </w:r>
      <w:proofErr w:type="spellStart"/>
      <w:r w:rsidRPr="001D29B2">
        <w:rPr>
          <w:rFonts w:ascii="Times New Roman" w:eastAsia="Times New Roman" w:hAnsi="Times New Roman" w:cs="Times New Roman"/>
          <w:sz w:val="20"/>
          <w:szCs w:val="20"/>
          <w:lang w:eastAsia="ru-RU"/>
        </w:rPr>
        <w:t>Дженкова</w:t>
      </w:r>
      <w:proofErr w:type="spellEnd"/>
      <w:r w:rsidRPr="001D29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Яна Петр</w:t>
      </w:r>
      <w:proofErr w:type="spellStart"/>
      <w:r w:rsidRPr="001D29B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1D29B2">
        <w:rPr>
          <w:rFonts w:ascii="Times New Roman" w:eastAsia="Times New Roman" w:hAnsi="Times New Roman" w:cs="Times New Roman"/>
          <w:sz w:val="20"/>
          <w:szCs w:val="20"/>
          <w:lang w:eastAsia="ru-RU"/>
        </w:rPr>
        <w:t>вна</w:t>
      </w:r>
      <w:proofErr w:type="spellEnd"/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Телефон для довідок: </w:t>
      </w:r>
      <w:r w:rsidRPr="001D29B2">
        <w:rPr>
          <w:rFonts w:ascii="Times New Roman" w:eastAsia="Times New Roman" w:hAnsi="Times New Roman" w:cs="Times New Roman"/>
          <w:sz w:val="20"/>
          <w:szCs w:val="20"/>
          <w:lang w:eastAsia="ru-RU"/>
        </w:rPr>
        <w:t>(056) 7900342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Товариство до початку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 зобов’язане надавати письмові відповіді на письмові запитання акціонерів щодо питань, включених до порядку денного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 до дати проведення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загальних зборів, не пізніше десяти робочих днів з дати отримання письмового запитання від акціонера шляхом направлення простого поштового листа на адресу акціонера, яка вказана у переліку акціонерів Товариства, яким </w:t>
      </w:r>
      <w:proofErr w:type="spellStart"/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надсилатиметься</w:t>
      </w:r>
      <w:proofErr w:type="spellEnd"/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письмове повідомлення про проведення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 акціонерів Товариства станом на </w:t>
      </w:r>
      <w:r w:rsidR="008D7063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16</w:t>
      </w:r>
      <w:r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березня 2021 р.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 або іншим засобом, що вказаний у запитанні акціонера.</w:t>
      </w: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Відповідно до ст. 38 Закону України «Про акціонерні товариства», кожний акціонер має право </w:t>
      </w:r>
      <w:proofErr w:type="spellStart"/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внести</w:t>
      </w:r>
      <w:proofErr w:type="spellEnd"/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пропозиції щодо питань, включених до проекту порядку денного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зборів, а також щодо нових кандидатів до складу органів Товариства, кількість яких не може перевищувати кількісного складу кожного з органів. Пропозиції вносяться не пізніше ніж за 20 днів до дати проведення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зборів, а щодо кандидатів до складу органів Товариства - не пізніше ніж за сім днів до дати проведення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зборів. Пропозиції щодо включення нових питань до проекту порядку денного повинні містити відповідні проекти рішень з цих питань. Пропозиції щодо кандидатів у члени наглядової ради Товариства мають містити інформацію про те, чи є запропонований кандидат представником акціонера (акціонерів), або про те, що кандидат пропонується на посаду члена наглядової ради - незалежного директора. Пропозиція до проекту порядку денного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 подається в письмовій формі із зазначенням прізвища (найменування) акціонера, який її вносить, кількості, типу та/або класу належних йому акцій, змісту пропозиції до питання та/або проекту рішення, а також кількості, типу та/або класу акцій, що належать кандидату, який пропонується цим акціонером до складу органів Товариства. Пропозиції акціонерів (акціонера), які сукупно є власниками 5 або більше відсотків голосуючих акцій, підлягають обов'язковому включенню до проекту порядку денного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зборів.</w:t>
      </w: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Для участі в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зборах, акціонерам необхідно мати при собі паспорт або інший документ, що посвідчує особу. Представникам акціонерів необхідно мати при собі паспорт або інший документ, що посвідчує особу та довіреність, оформлену у відповідності до вимог чинного законодавства.</w:t>
      </w: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Довіреність на право участі та голосування на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зборах, видана фізичною особою, посвідчується нотаріусом або іншими посадовими особами, які вчиняють нотаріальні дії, а також може посвідчуватися депозитарною установою у встановленому Національною комісією з цінних паперів та фондового ринку порядку. Довіреність на право участі та голосування на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зборах від імені юридичної особи видається її органом або іншою особою, уповноваженою на це її установчими документами.</w:t>
      </w: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Представником акціонера - фізичної чи юридичної особи на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зборах Товариства може бути інша фізична особа або уповноважена особа юридичної особи.</w:t>
      </w: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Довіреність на право участі та голосування на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зборах Товариства може містити завдання щодо голосування, тобто перелік питань порядку денного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зборів із зазначенням того, як і за яке (проти якого) 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lastRenderedPageBreak/>
        <w:t xml:space="preserve">рішення потрібно проголосувати. Під час голосування на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зборах представник повинен голосувати саме так, як передбачено завданням щодо голосування. Якщо довіреність не містить завдання щодо голосування, представник вирішує всі питання щодо голосування на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зборах акціонерів на свій розсуд.</w:t>
      </w: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Акціонер має право видати довіреність на право участі та голосування на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зборах декільком своїм представникам. Акціонер має право у будь-який час відкликати чи замінити свого представника на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зборах акціонерів Товариства.</w:t>
      </w: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Надання довіреності на право участі та голосування на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зборах не виключає право участі на цих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річних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загальних зборах акціонера, який видав довіреність, замість свого представника.</w:t>
      </w: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D29B2" w:rsidRPr="001227E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Річні</w:t>
      </w:r>
      <w:r w:rsidRPr="00B74B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загальні збори акціонерів Товариства </w:t>
      </w:r>
      <w:r w:rsidR="0025504B" w:rsidRPr="0025504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будуть проведені з дотриманням протиепідемічних заходів, встановлених Кабінетом Міністрів України на період карантину.</w:t>
      </w:r>
      <w:r w:rsidR="0025504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1227E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При проведенні загальних зборів акціонери, їх представники та інші особи, що приймають участь у зборах, повинні дотримуватись наступних вимог: Перед початком заходу пройти температурний скринінг. Учасники зборів повинні бути  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гумових</w:t>
      </w:r>
      <w:proofErr w:type="spellEnd"/>
      <w:r w:rsidRPr="00122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рукавичка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х,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 респіраторі або захисній </w:t>
      </w:r>
      <w:r w:rsidRPr="001227E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масц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</w:t>
      </w:r>
      <w:r w:rsidRPr="001227E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 у тому числі виготовленій самостійно. На вході до приміщень Товариства, зокрема актової зали, обробити руки спиртовмісними антисептиками. Між місцями учасників зборів потрібно забезпечувати не менше ніж 2 метри. Учасники зборів також повинні дотримуватись інших протиепідемічних заходів, передбачених чинним законодавством України.</w:t>
      </w:r>
    </w:p>
    <w:p w:rsidR="001D29B2" w:rsidRPr="00B74B90" w:rsidRDefault="001D29B2" w:rsidP="001D29B2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:rsidR="00407DC7" w:rsidRPr="00407DC7" w:rsidRDefault="00407DC7" w:rsidP="000824C6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Станом на дату складання переліку осіб, яким надсилається повідомлення про проведення загальних зборів, а саме на </w:t>
      </w:r>
      <w:r w:rsidR="00EC1836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16</w:t>
      </w:r>
      <w:r w:rsidR="001D29B2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.03.2021</w:t>
      </w:r>
      <w:r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</w:t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., загальна кількість акцій складає </w:t>
      </w:r>
      <w:r w:rsidR="008461D0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33</w:t>
      </w:r>
      <w:r w:rsidR="00393748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461D0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526</w:t>
      </w:r>
      <w:r w:rsidR="00393748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461D0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840</w:t>
      </w:r>
      <w:r w:rsidRPr="007339D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штук простих іменних акцій, з них кількість голосуючих акцій </w:t>
      </w:r>
      <w:r w:rsidRPr="007339D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становить</w:t>
      </w:r>
      <w:r w:rsidR="008461D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461D0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33</w:t>
      </w:r>
      <w:r w:rsidR="00393748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461D0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285</w:t>
      </w:r>
      <w:r w:rsidR="00393748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461D0" w:rsidRPr="007869B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665</w:t>
      </w:r>
      <w:r w:rsidRPr="007339D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штук.</w:t>
      </w:r>
    </w:p>
    <w:p w:rsidR="00831E79" w:rsidRDefault="00831E79">
      <w:pP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D29B2" w:rsidRPr="00407DC7" w:rsidRDefault="001D29B2" w:rsidP="001D29B2">
      <w:pPr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407DC7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>Основні показники фінансово-господарської діяльності Товариства</w:t>
      </w:r>
    </w:p>
    <w:p w:rsidR="001D29B2" w:rsidRPr="00407DC7" w:rsidRDefault="001D29B2" w:rsidP="001D29B2">
      <w:pPr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407DC7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>(тис. грн.)</w:t>
      </w:r>
    </w:p>
    <w:p w:rsidR="001D29B2" w:rsidRPr="00407DC7" w:rsidRDefault="001D29B2" w:rsidP="001D29B2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tbl>
      <w:tblPr>
        <w:tblW w:w="10074" w:type="dxa"/>
        <w:tblInd w:w="98" w:type="dxa"/>
        <w:tblLook w:val="04A0" w:firstRow="1" w:lastRow="0" w:firstColumn="1" w:lastColumn="0" w:noHBand="0" w:noVBand="1"/>
      </w:tblPr>
      <w:tblGrid>
        <w:gridCol w:w="5113"/>
        <w:gridCol w:w="2552"/>
        <w:gridCol w:w="2409"/>
      </w:tblGrid>
      <w:tr w:rsidR="001D29B2" w:rsidRPr="00831E79" w:rsidTr="001D29B2">
        <w:trPr>
          <w:trHeight w:val="483"/>
        </w:trPr>
        <w:tc>
          <w:tcPr>
            <w:tcW w:w="511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29B2" w:rsidRPr="00831E79" w:rsidRDefault="001D29B2" w:rsidP="00EA4FAE">
            <w:pPr>
              <w:spacing w:after="0" w:line="240" w:lineRule="auto"/>
              <w:ind w:firstLine="2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показника</w:t>
            </w:r>
          </w:p>
        </w:tc>
        <w:tc>
          <w:tcPr>
            <w:tcW w:w="49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EA4FAE">
            <w:pPr>
              <w:spacing w:after="0" w:line="240" w:lineRule="auto"/>
              <w:ind w:firstLine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Період</w:t>
            </w:r>
          </w:p>
        </w:tc>
      </w:tr>
      <w:tr w:rsidR="001D29B2" w:rsidRPr="00831E79" w:rsidTr="001D29B2">
        <w:trPr>
          <w:trHeight w:val="56"/>
        </w:trPr>
        <w:tc>
          <w:tcPr>
            <w:tcW w:w="51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EA4FAE">
            <w:pPr>
              <w:spacing w:after="0" w:line="240" w:lineRule="auto"/>
              <w:ind w:firstLine="2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B0522C">
            <w:pPr>
              <w:spacing w:after="0" w:line="240" w:lineRule="auto"/>
              <w:ind w:firstLine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звітний 2020р.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B0522C">
            <w:pPr>
              <w:spacing w:after="0" w:line="240" w:lineRule="auto"/>
              <w:ind w:firstLine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попередній 2019р.</w:t>
            </w:r>
          </w:p>
        </w:tc>
      </w:tr>
      <w:tr w:rsidR="001D29B2" w:rsidRPr="00831E79" w:rsidTr="001D29B2">
        <w:trPr>
          <w:trHeight w:val="65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Усього активів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D29B2" w:rsidRPr="001D29B2" w:rsidRDefault="001D29B2" w:rsidP="001D2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44361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45032</w:t>
            </w:r>
          </w:p>
        </w:tc>
      </w:tr>
      <w:tr w:rsidR="001D29B2" w:rsidRPr="00831E79" w:rsidTr="001D29B2">
        <w:trPr>
          <w:trHeight w:val="46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Основні засоби (за залишковою вартістю)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D29B2" w:rsidRPr="001D29B2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27747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28590</w:t>
            </w:r>
          </w:p>
        </w:tc>
      </w:tr>
      <w:tr w:rsidR="001D29B2" w:rsidRPr="00831E79" w:rsidTr="001D29B2">
        <w:trPr>
          <w:trHeight w:val="89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Запаси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D29B2" w:rsidRPr="001D29B2" w:rsidRDefault="001D29B2" w:rsidP="001D2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7723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7586</w:t>
            </w:r>
          </w:p>
        </w:tc>
      </w:tr>
      <w:tr w:rsidR="001D29B2" w:rsidRPr="00831E79" w:rsidTr="001D29B2">
        <w:trPr>
          <w:trHeight w:val="46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Сумарна дебіторська заборгованість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D29B2" w:rsidRPr="001D29B2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5978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5716</w:t>
            </w:r>
          </w:p>
        </w:tc>
      </w:tr>
      <w:tr w:rsidR="001D29B2" w:rsidRPr="00831E79" w:rsidTr="001D29B2">
        <w:trPr>
          <w:trHeight w:val="127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Гроші та їх еквіваленти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D29B2" w:rsidRPr="001D29B2" w:rsidRDefault="001D29B2" w:rsidP="001D2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1D29B2" w:rsidRPr="00831E79" w:rsidTr="001D29B2">
        <w:trPr>
          <w:trHeight w:val="89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Нерозподілений прибуток (непокритий збиток)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D29B2" w:rsidRPr="001D29B2" w:rsidRDefault="001D29B2" w:rsidP="001D2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-29148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-291</w:t>
            </w:r>
            <w:bookmarkStart w:id="0" w:name="_GoBack"/>
            <w:bookmarkEnd w:id="0"/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99</w:t>
            </w:r>
          </w:p>
        </w:tc>
      </w:tr>
      <w:tr w:rsidR="001D29B2" w:rsidRPr="00831E79" w:rsidTr="001D29B2">
        <w:trPr>
          <w:trHeight w:val="46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Власний капітал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D29B2" w:rsidRPr="001D29B2" w:rsidRDefault="001D29B2" w:rsidP="001D2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27381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27381</w:t>
            </w:r>
          </w:p>
        </w:tc>
      </w:tr>
      <w:tr w:rsidR="001D29B2" w:rsidRPr="00831E79" w:rsidTr="001D29B2">
        <w:trPr>
          <w:trHeight w:val="127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Зареєстрований (пайовий/статутний) капітал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D29B2" w:rsidRPr="001D29B2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8382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8382</w:t>
            </w:r>
          </w:p>
        </w:tc>
      </w:tr>
      <w:tr w:rsidR="001D29B2" w:rsidRPr="00831E79" w:rsidTr="001D29B2">
        <w:trPr>
          <w:trHeight w:val="75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Довгострокові зобов'язання і забезпечення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D29B2" w:rsidRPr="001D29B2" w:rsidRDefault="001D29B2" w:rsidP="001D2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5124</w:t>
            </w:r>
          </w:p>
        </w:tc>
      </w:tr>
      <w:tr w:rsidR="001D29B2" w:rsidRPr="00831E79" w:rsidTr="001D29B2">
        <w:trPr>
          <w:trHeight w:val="46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Поточні зобов'язання і забезпечення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D29B2" w:rsidRPr="001D29B2" w:rsidRDefault="001D29B2" w:rsidP="001D2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37746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38468</w:t>
            </w:r>
          </w:p>
        </w:tc>
      </w:tr>
      <w:tr w:rsidR="001D29B2" w:rsidRPr="00831E79" w:rsidTr="001D29B2">
        <w:trPr>
          <w:trHeight w:val="113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Чистий фінансовий результат: прибуток (збиток)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D29B2" w:rsidRPr="001D29B2" w:rsidRDefault="001D29B2" w:rsidP="001D2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336</w:t>
            </w:r>
          </w:p>
        </w:tc>
      </w:tr>
      <w:tr w:rsidR="001D29B2" w:rsidRPr="00831E79" w:rsidTr="001D29B2">
        <w:trPr>
          <w:trHeight w:val="61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Середньорічна кількість акцій (шт.)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D29B2" w:rsidRPr="001D29B2" w:rsidRDefault="001D29B2" w:rsidP="001D2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  <w:r w:rsidR="00BC49D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</w:t>
            </w: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526</w:t>
            </w:r>
            <w:r w:rsidR="00BC49D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1D29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840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1D29B2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B774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33 526 840</w:t>
            </w:r>
          </w:p>
        </w:tc>
      </w:tr>
      <w:tr w:rsidR="001D29B2" w:rsidRPr="00831E79" w:rsidTr="001D29B2">
        <w:trPr>
          <w:trHeight w:val="46"/>
        </w:trPr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D29B2" w:rsidRPr="00831E79" w:rsidRDefault="001D29B2" w:rsidP="001D29B2">
            <w:pPr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31E7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Чистий прибуток (збиток) на одну просту акцію (грн)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D29B2" w:rsidRPr="001D29B2" w:rsidRDefault="00BC49DA" w:rsidP="001D2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0,0015211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29B2" w:rsidRPr="00FB7747" w:rsidRDefault="00BC49DA" w:rsidP="00EA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0,0100218</w:t>
            </w:r>
          </w:p>
        </w:tc>
      </w:tr>
    </w:tbl>
    <w:p w:rsidR="001D29B2" w:rsidRPr="00407DC7" w:rsidRDefault="001D29B2" w:rsidP="001D29B2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D29B2" w:rsidRDefault="001D29B2" w:rsidP="001D29B2">
      <w:pPr>
        <w:spacing w:after="0" w:line="240" w:lineRule="auto"/>
        <w:ind w:firstLine="285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07DC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07DC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>Наглядова Рада</w:t>
      </w:r>
    </w:p>
    <w:p w:rsidR="004876AC" w:rsidRDefault="004876AC" w:rsidP="001D29B2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sectPr w:rsidR="004876AC" w:rsidSect="00F10C82">
      <w:pgSz w:w="11906" w:h="16838"/>
      <w:pgMar w:top="719" w:right="282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E1D" w:rsidRDefault="00B72E1D" w:rsidP="00B72E1D">
      <w:pPr>
        <w:spacing w:after="0" w:line="240" w:lineRule="auto"/>
      </w:pPr>
      <w:r>
        <w:separator/>
      </w:r>
    </w:p>
  </w:endnote>
  <w:endnote w:type="continuationSeparator" w:id="0">
    <w:p w:rsidR="00B72E1D" w:rsidRDefault="00B72E1D" w:rsidP="00B72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E1D" w:rsidRDefault="00B72E1D" w:rsidP="00B72E1D">
      <w:pPr>
        <w:spacing w:after="0" w:line="240" w:lineRule="auto"/>
      </w:pPr>
      <w:r>
        <w:separator/>
      </w:r>
    </w:p>
  </w:footnote>
  <w:footnote w:type="continuationSeparator" w:id="0">
    <w:p w:rsidR="00B72E1D" w:rsidRDefault="00B72E1D" w:rsidP="00B72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B19F3"/>
    <w:multiLevelType w:val="hybridMultilevel"/>
    <w:tmpl w:val="767CF9C2"/>
    <w:lvl w:ilvl="0" w:tplc="FFFFFFFF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663F586E"/>
    <w:multiLevelType w:val="multilevel"/>
    <w:tmpl w:val="7B0AB5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AF"/>
    <w:rsid w:val="00021B5B"/>
    <w:rsid w:val="000824C6"/>
    <w:rsid w:val="00133EE9"/>
    <w:rsid w:val="001D29B2"/>
    <w:rsid w:val="001F130C"/>
    <w:rsid w:val="00211F54"/>
    <w:rsid w:val="00213B26"/>
    <w:rsid w:val="002352AC"/>
    <w:rsid w:val="0025504B"/>
    <w:rsid w:val="00266B7C"/>
    <w:rsid w:val="002C341F"/>
    <w:rsid w:val="002C7C9B"/>
    <w:rsid w:val="002E57F3"/>
    <w:rsid w:val="00342890"/>
    <w:rsid w:val="003822D2"/>
    <w:rsid w:val="00393748"/>
    <w:rsid w:val="003A6942"/>
    <w:rsid w:val="00407DC7"/>
    <w:rsid w:val="00417881"/>
    <w:rsid w:val="004876AC"/>
    <w:rsid w:val="004D5DEE"/>
    <w:rsid w:val="004E79C1"/>
    <w:rsid w:val="005505AF"/>
    <w:rsid w:val="00552A36"/>
    <w:rsid w:val="00554BB0"/>
    <w:rsid w:val="00577521"/>
    <w:rsid w:val="005C061A"/>
    <w:rsid w:val="00660A26"/>
    <w:rsid w:val="006B6EB6"/>
    <w:rsid w:val="00701A0A"/>
    <w:rsid w:val="00722D52"/>
    <w:rsid w:val="007339DF"/>
    <w:rsid w:val="007366B2"/>
    <w:rsid w:val="00750158"/>
    <w:rsid w:val="007869B1"/>
    <w:rsid w:val="007A6059"/>
    <w:rsid w:val="008203E6"/>
    <w:rsid w:val="00831E79"/>
    <w:rsid w:val="008461D0"/>
    <w:rsid w:val="0086409D"/>
    <w:rsid w:val="00874DA9"/>
    <w:rsid w:val="00896F20"/>
    <w:rsid w:val="008A1F68"/>
    <w:rsid w:val="008D467E"/>
    <w:rsid w:val="008D7063"/>
    <w:rsid w:val="0099411C"/>
    <w:rsid w:val="009D36E4"/>
    <w:rsid w:val="009D4C93"/>
    <w:rsid w:val="00A54695"/>
    <w:rsid w:val="00A9482F"/>
    <w:rsid w:val="00AB785D"/>
    <w:rsid w:val="00B0497A"/>
    <w:rsid w:val="00B0522C"/>
    <w:rsid w:val="00B2301E"/>
    <w:rsid w:val="00B417B6"/>
    <w:rsid w:val="00B427D6"/>
    <w:rsid w:val="00B72E1D"/>
    <w:rsid w:val="00BC49DA"/>
    <w:rsid w:val="00C50267"/>
    <w:rsid w:val="00CA4FD4"/>
    <w:rsid w:val="00CB084D"/>
    <w:rsid w:val="00CF523D"/>
    <w:rsid w:val="00D76A88"/>
    <w:rsid w:val="00DB6DBF"/>
    <w:rsid w:val="00DD153E"/>
    <w:rsid w:val="00E0394A"/>
    <w:rsid w:val="00E57596"/>
    <w:rsid w:val="00EC1836"/>
    <w:rsid w:val="00ED02F7"/>
    <w:rsid w:val="00ED0FE9"/>
    <w:rsid w:val="00F10C82"/>
    <w:rsid w:val="00F2308F"/>
    <w:rsid w:val="00F31CB5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A8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2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E1D"/>
  </w:style>
  <w:style w:type="paragraph" w:styleId="a6">
    <w:name w:val="footer"/>
    <w:basedOn w:val="a"/>
    <w:link w:val="a7"/>
    <w:uiPriority w:val="99"/>
    <w:unhideWhenUsed/>
    <w:rsid w:val="00B72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2E1D"/>
  </w:style>
  <w:style w:type="paragraph" w:styleId="a8">
    <w:name w:val="Balloon Text"/>
    <w:basedOn w:val="a"/>
    <w:link w:val="a9"/>
    <w:uiPriority w:val="99"/>
    <w:semiHidden/>
    <w:unhideWhenUsed/>
    <w:rsid w:val="009D3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6E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D2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A8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2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E1D"/>
  </w:style>
  <w:style w:type="paragraph" w:styleId="a6">
    <w:name w:val="footer"/>
    <w:basedOn w:val="a"/>
    <w:link w:val="a7"/>
    <w:uiPriority w:val="99"/>
    <w:unhideWhenUsed/>
    <w:rsid w:val="00B72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2E1D"/>
  </w:style>
  <w:style w:type="paragraph" w:styleId="a8">
    <w:name w:val="Balloon Text"/>
    <w:basedOn w:val="a"/>
    <w:link w:val="a9"/>
    <w:uiPriority w:val="99"/>
    <w:semiHidden/>
    <w:unhideWhenUsed/>
    <w:rsid w:val="009D3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6E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D2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3</Pages>
  <Words>1988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37</cp:revision>
  <cp:lastPrinted>2020-10-12T13:41:00Z</cp:lastPrinted>
  <dcterms:created xsi:type="dcterms:W3CDTF">2020-08-14T09:31:00Z</dcterms:created>
  <dcterms:modified xsi:type="dcterms:W3CDTF">2021-03-22T09:44:00Z</dcterms:modified>
</cp:coreProperties>
</file>